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346.41345977783203" w:lineRule="auto"/>
        <w:ind w:left="836.766357421875" w:right="826.759033203125" w:firstLine="0"/>
        <w:jc w:val="center"/>
        <w:rPr>
          <w:rFonts w:ascii="Times New Roman" w:cs="Times New Roman" w:eastAsia="Times New Roman" w:hAnsi="Times New Roman"/>
          <w:sz w:val="27.84000015258789"/>
          <w:szCs w:val="27.84000015258789"/>
        </w:rPr>
      </w:pPr>
      <w:r w:rsidDel="00000000" w:rsidR="00000000" w:rsidRPr="00000000">
        <w:rPr>
          <w:rFonts w:ascii="Times New Roman" w:cs="Times New Roman" w:eastAsia="Times New Roman" w:hAnsi="Times New Roman"/>
          <w:sz w:val="27.84000015258789"/>
          <w:szCs w:val="27.84000015258789"/>
          <w:rtl w:val="0"/>
        </w:rPr>
        <w:t xml:space="preserve">Қазақстан Республикасының білім және ғылым министрлігі Әлкей Марғұлан атындағы Павлодар педагогикалық университеті Гуманитарлық ғылымдар жоғарғы мектебі </w:t>
      </w:r>
    </w:p>
    <w:p w:rsidR="00000000" w:rsidDel="00000000" w:rsidP="00000000" w:rsidRDefault="00000000" w:rsidRPr="00000000" w14:paraId="00000002">
      <w:pPr>
        <w:widowControl w:val="0"/>
        <w:spacing w:before="37.06787109375" w:line="240" w:lineRule="auto"/>
        <w:jc w:val="center"/>
        <w:rPr>
          <w:rFonts w:ascii="Times New Roman" w:cs="Times New Roman" w:eastAsia="Times New Roman" w:hAnsi="Times New Roman"/>
          <w:sz w:val="27.84000015258789"/>
          <w:szCs w:val="27.84000015258789"/>
        </w:rPr>
      </w:pPr>
      <w:r w:rsidDel="00000000" w:rsidR="00000000" w:rsidRPr="00000000">
        <w:rPr>
          <w:rFonts w:ascii="Times New Roman" w:cs="Times New Roman" w:eastAsia="Times New Roman" w:hAnsi="Times New Roman"/>
          <w:sz w:val="27.84000015258789"/>
          <w:szCs w:val="27.84000015258789"/>
          <w:rtl w:val="0"/>
        </w:rPr>
        <w:t xml:space="preserve">«Шет тілдер: екі шет тілдері» білім беру бағдарламасы </w:t>
      </w:r>
    </w:p>
    <w:p w:rsidR="00000000" w:rsidDel="00000000" w:rsidP="00000000" w:rsidRDefault="00000000" w:rsidRPr="00000000" w14:paraId="00000003">
      <w:pPr>
        <w:widowControl w:val="0"/>
        <w:spacing w:before="37.06787109375" w:line="240" w:lineRule="auto"/>
        <w:jc w:val="center"/>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04">
      <w:pPr>
        <w:widowControl w:val="0"/>
        <w:spacing w:before="37.06787109375" w:line="240" w:lineRule="auto"/>
        <w:jc w:val="center"/>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05">
      <w:pPr>
        <w:widowControl w:val="0"/>
        <w:spacing w:before="37.06787109375" w:line="240" w:lineRule="auto"/>
        <w:jc w:val="center"/>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06">
      <w:pPr>
        <w:widowControl w:val="0"/>
        <w:spacing w:before="37.06787109375" w:line="240" w:lineRule="auto"/>
        <w:jc w:val="center"/>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07">
      <w:pPr>
        <w:widowControl w:val="0"/>
        <w:spacing w:before="37.06787109375" w:line="240" w:lineRule="auto"/>
        <w:jc w:val="center"/>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08">
      <w:pPr>
        <w:widowControl w:val="0"/>
        <w:spacing w:before="37.06787109375" w:line="240" w:lineRule="auto"/>
        <w:jc w:val="center"/>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09">
      <w:pPr>
        <w:widowControl w:val="0"/>
        <w:spacing w:before="37.06787109375" w:line="240" w:lineRule="auto"/>
        <w:jc w:val="center"/>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0A">
      <w:pPr>
        <w:widowControl w:val="0"/>
        <w:spacing w:after="240" w:before="240" w:line="240" w:lineRule="auto"/>
        <w:jc w:val="center"/>
        <w:rPr>
          <w:rFonts w:ascii="Times New Roman" w:cs="Times New Roman" w:eastAsia="Times New Roman" w:hAnsi="Times New Roman"/>
          <w:b w:val="1"/>
          <w:sz w:val="31.84000015258789"/>
          <w:szCs w:val="31.84000015258789"/>
        </w:rPr>
      </w:pPr>
      <w:r w:rsidDel="00000000" w:rsidR="00000000" w:rsidRPr="00000000">
        <w:rPr>
          <w:rFonts w:ascii="Times New Roman" w:cs="Times New Roman" w:eastAsia="Times New Roman" w:hAnsi="Times New Roman"/>
          <w:b w:val="1"/>
          <w:sz w:val="31.84000015258789"/>
          <w:szCs w:val="31.84000015258789"/>
          <w:rtl w:val="0"/>
        </w:rPr>
        <w:t xml:space="preserve">ЖАСТАР ЖӘНЕ СЫБАЙЛАС ЖЕМҚОРЛЫҚ: САНАЛЫ ҰРПАҚ – ЖАРҚЫН БОЛАШАҚ</w:t>
      </w:r>
    </w:p>
    <w:p w:rsidR="00000000" w:rsidDel="00000000" w:rsidP="00000000" w:rsidRDefault="00000000" w:rsidRPr="00000000" w14:paraId="0000000B">
      <w:pPr>
        <w:widowControl w:val="0"/>
        <w:spacing w:before="37.06787109375" w:line="240" w:lineRule="auto"/>
        <w:jc w:val="left"/>
        <w:rPr>
          <w:rFonts w:ascii="Times New Roman" w:cs="Times New Roman" w:eastAsia="Times New Roman" w:hAnsi="Times New Roman"/>
          <w:sz w:val="39.84000015258789"/>
          <w:szCs w:val="39.84000015258789"/>
        </w:rPr>
      </w:pPr>
      <w:r w:rsidDel="00000000" w:rsidR="00000000" w:rsidRPr="00000000">
        <w:rPr>
          <w:rtl w:val="0"/>
        </w:rPr>
      </w:r>
    </w:p>
    <w:p w:rsidR="00000000" w:rsidDel="00000000" w:rsidP="00000000" w:rsidRDefault="00000000" w:rsidRPr="00000000" w14:paraId="0000000C">
      <w:pPr>
        <w:widowControl w:val="0"/>
        <w:spacing w:before="893.8677978515625" w:line="263.8941764831543" w:lineRule="auto"/>
        <w:ind w:left="380.3999328613281" w:right="269.197998046875" w:firstLine="0"/>
        <w:jc w:val="center"/>
        <w:rPr>
          <w:b w:val="1"/>
          <w:color w:val="343434"/>
          <w:sz w:val="31"/>
          <w:szCs w:val="31"/>
          <w:highlight w:val="white"/>
        </w:rPr>
      </w:pPr>
      <w:r w:rsidDel="00000000" w:rsidR="00000000" w:rsidRPr="00000000">
        <w:rPr>
          <w:b w:val="1"/>
          <w:color w:val="343434"/>
          <w:sz w:val="31"/>
          <w:szCs w:val="31"/>
          <w:highlight w:val="white"/>
          <w:rtl w:val="0"/>
        </w:rPr>
        <w:t xml:space="preserve">Құқық және сыбайлас жемқорлыққа қарсы мәдениет негіздер бойынша мақала</w:t>
      </w:r>
    </w:p>
    <w:p w:rsidR="00000000" w:rsidDel="00000000" w:rsidP="00000000" w:rsidRDefault="00000000" w:rsidRPr="00000000" w14:paraId="0000000D">
      <w:pPr>
        <w:widowControl w:val="0"/>
        <w:spacing w:before="2501.83837890625" w:line="240" w:lineRule="auto"/>
        <w:ind w:right="28.614501953125"/>
        <w:jc w:val="right"/>
        <w:rPr>
          <w:rFonts w:ascii="Times New Roman" w:cs="Times New Roman" w:eastAsia="Times New Roman" w:hAnsi="Times New Roman"/>
          <w:sz w:val="27.84000015258789"/>
          <w:szCs w:val="27.84000015258789"/>
        </w:rPr>
      </w:pPr>
      <w:r w:rsidDel="00000000" w:rsidR="00000000" w:rsidRPr="00000000">
        <w:rPr>
          <w:rFonts w:ascii="Times New Roman" w:cs="Times New Roman" w:eastAsia="Times New Roman" w:hAnsi="Times New Roman"/>
          <w:sz w:val="27.84000015258789"/>
          <w:szCs w:val="27.84000015258789"/>
          <w:rtl w:val="0"/>
        </w:rPr>
        <w:t xml:space="preserve">Орындаушы: ШТА-35 тобының  </w:t>
      </w:r>
    </w:p>
    <w:p w:rsidR="00000000" w:rsidDel="00000000" w:rsidP="00000000" w:rsidRDefault="00000000" w:rsidRPr="00000000" w14:paraId="0000000E">
      <w:pPr>
        <w:widowControl w:val="0"/>
        <w:spacing w:before="246.307373046875" w:line="240" w:lineRule="auto"/>
        <w:ind w:right="103.040771484375"/>
        <w:jc w:val="right"/>
        <w:rPr>
          <w:rFonts w:ascii="Times New Roman" w:cs="Times New Roman" w:eastAsia="Times New Roman" w:hAnsi="Times New Roman"/>
          <w:sz w:val="27.84000015258789"/>
          <w:szCs w:val="27.84000015258789"/>
        </w:rPr>
      </w:pPr>
      <w:r w:rsidDel="00000000" w:rsidR="00000000" w:rsidRPr="00000000">
        <w:rPr>
          <w:rFonts w:ascii="Times New Roman" w:cs="Times New Roman" w:eastAsia="Times New Roman" w:hAnsi="Times New Roman"/>
          <w:sz w:val="27.84000015258789"/>
          <w:szCs w:val="27.84000015258789"/>
          <w:rtl w:val="0"/>
        </w:rPr>
        <w:t xml:space="preserve">студенті Смагулова А.М. </w:t>
      </w:r>
    </w:p>
    <w:p w:rsidR="00000000" w:rsidDel="00000000" w:rsidP="00000000" w:rsidRDefault="00000000" w:rsidRPr="00000000" w14:paraId="0000000F">
      <w:pPr>
        <w:pStyle w:val="Title"/>
        <w:widowControl w:val="0"/>
        <w:spacing w:before="246.7071533203125" w:line="240" w:lineRule="auto"/>
        <w:ind w:right="110.107421875"/>
        <w:jc w:val="right"/>
        <w:rPr>
          <w:b w:val="1"/>
          <w:sz w:val="24"/>
          <w:szCs w:val="24"/>
        </w:rPr>
      </w:pPr>
      <w:bookmarkStart w:colFirst="0" w:colLast="0" w:name="_mhykix5d31vd" w:id="0"/>
      <w:bookmarkEnd w:id="0"/>
      <w:r w:rsidDel="00000000" w:rsidR="00000000" w:rsidRPr="00000000">
        <w:rPr>
          <w:sz w:val="27.84000015258789"/>
          <w:szCs w:val="27.84000015258789"/>
          <w:rtl w:val="0"/>
        </w:rPr>
        <w:t xml:space="preserve">Жетекшісі: оқытушы,</w:t>
      </w:r>
      <w:r w:rsidDel="00000000" w:rsidR="00000000" w:rsidRPr="00000000">
        <w:rPr>
          <w:b w:val="1"/>
          <w:sz w:val="27.84000015258789"/>
          <w:szCs w:val="27.84000015258789"/>
          <w:rtl w:val="0"/>
        </w:rPr>
        <w:t xml:space="preserve"> </w:t>
      </w:r>
      <w:r w:rsidDel="00000000" w:rsidR="00000000" w:rsidRPr="00000000">
        <w:rPr>
          <w:b w:val="1"/>
          <w:sz w:val="24"/>
          <w:szCs w:val="24"/>
          <w:rtl w:val="0"/>
        </w:rPr>
        <w:t xml:space="preserve">Саткенов Акылбек Саткенулы</w:t>
      </w:r>
    </w:p>
    <w:p w:rsidR="00000000" w:rsidDel="00000000" w:rsidP="00000000" w:rsidRDefault="00000000" w:rsidRPr="00000000" w14:paraId="00000010">
      <w:pPr>
        <w:pStyle w:val="Title"/>
        <w:widowControl w:val="0"/>
        <w:spacing w:before="246.7071533203125" w:line="240" w:lineRule="auto"/>
        <w:ind w:right="110.107421875"/>
        <w:jc w:val="right"/>
        <w:rPr>
          <w:sz w:val="27.84000015258789"/>
          <w:szCs w:val="27.84000015258789"/>
        </w:rPr>
      </w:pPr>
      <w:bookmarkStart w:colFirst="0" w:colLast="0" w:name="_euq4sl9um9so" w:id="1"/>
      <w:bookmarkEnd w:id="1"/>
      <w:r w:rsidDel="00000000" w:rsidR="00000000" w:rsidRPr="00000000">
        <w:rPr>
          <w:rtl w:val="0"/>
        </w:rPr>
      </w:r>
    </w:p>
    <w:p w:rsidR="00000000" w:rsidDel="00000000" w:rsidP="00000000" w:rsidRDefault="00000000" w:rsidRPr="00000000" w14:paraId="00000011">
      <w:pPr>
        <w:widowControl w:val="0"/>
        <w:spacing w:before="246.30706787109375" w:line="240" w:lineRule="auto"/>
        <w:ind w:right="101.422119140625"/>
        <w:jc w:val="right"/>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12">
      <w:pPr>
        <w:widowControl w:val="0"/>
        <w:spacing w:before="246.30706787109375" w:line="240" w:lineRule="auto"/>
        <w:ind w:right="101.422119140625"/>
        <w:jc w:val="right"/>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13">
      <w:pPr>
        <w:widowControl w:val="0"/>
        <w:spacing w:before="246.30706787109375" w:line="240" w:lineRule="auto"/>
        <w:ind w:right="101.422119140625"/>
        <w:jc w:val="center"/>
        <w:rPr>
          <w:rFonts w:ascii="Times New Roman" w:cs="Times New Roman" w:eastAsia="Times New Roman" w:hAnsi="Times New Roman"/>
          <w:sz w:val="27.84000015258789"/>
          <w:szCs w:val="27.84000015258789"/>
        </w:rPr>
      </w:pPr>
      <w:r w:rsidDel="00000000" w:rsidR="00000000" w:rsidRPr="00000000">
        <w:rPr>
          <w:rFonts w:ascii="Times New Roman" w:cs="Times New Roman" w:eastAsia="Times New Roman" w:hAnsi="Times New Roman"/>
          <w:sz w:val="27.84000015258789"/>
          <w:szCs w:val="27.84000015258789"/>
          <w:rtl w:val="0"/>
        </w:rPr>
        <w:t xml:space="preserve">Павлодар 2024</w:t>
      </w:r>
    </w:p>
    <w:p w:rsidR="00000000" w:rsidDel="00000000" w:rsidP="00000000" w:rsidRDefault="00000000" w:rsidRPr="00000000" w14:paraId="00000014">
      <w:pPr>
        <w:spacing w:after="240" w:before="240" w:lineRule="auto"/>
        <w:jc w:val="center"/>
        <w:rPr>
          <w:b w:val="1"/>
        </w:rPr>
      </w:pPr>
      <w:r w:rsidDel="00000000" w:rsidR="00000000" w:rsidRPr="00000000">
        <w:rPr>
          <w:b w:val="1"/>
          <w:rtl w:val="0"/>
        </w:rPr>
        <w:t xml:space="preserve">ЖАСТАР ЖӘНЕ СЫБАЙЛАС ЖЕМҚОРЛЫҚ: САНАЛЫ ҰРПАҚ – ЖАРҚЫН БОЛАШАҚ</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rFonts w:ascii="Times New Roman" w:cs="Times New Roman" w:eastAsia="Times New Roman" w:hAnsi="Times New Roman"/>
          <w:sz w:val="27.84000015258789"/>
          <w:szCs w:val="27.84000015258789"/>
        </w:rPr>
      </w:pPr>
      <w:r w:rsidDel="00000000" w:rsidR="00000000" w:rsidRPr="00000000">
        <w:rPr>
          <w:b w:val="1"/>
          <w:rtl w:val="0"/>
        </w:rPr>
        <w:t xml:space="preserve">Аннотация</w:t>
      </w:r>
      <w:r w:rsidDel="00000000" w:rsidR="00000000" w:rsidRPr="00000000">
        <w:rPr>
          <w:rFonts w:ascii="Times New Roman" w:cs="Times New Roman" w:eastAsia="Times New Roman" w:hAnsi="Times New Roman"/>
          <w:b w:val="1"/>
          <w:sz w:val="27.84000015258789"/>
          <w:szCs w:val="27.84000015258789"/>
          <w:rtl w:val="0"/>
        </w:rPr>
        <w:t xml:space="preserve">: </w:t>
      </w:r>
      <w:r w:rsidDel="00000000" w:rsidR="00000000" w:rsidRPr="00000000">
        <w:rPr>
          <w:rFonts w:ascii="Times New Roman" w:cs="Times New Roman" w:eastAsia="Times New Roman" w:hAnsi="Times New Roman"/>
          <w:sz w:val="27.84000015258789"/>
          <w:szCs w:val="27.84000015258789"/>
          <w:rtl w:val="0"/>
        </w:rPr>
        <w:t xml:space="preserve">Бұл мақалада жастардың сыбайлас жемқорлыққа қарсы күрестегі рөлі, олардың құқықтық сауаттылығын арттырудың маңыздылығы және әділетті қоғам қалыптастырудағы орны қарастырылады. Автор жастар арасында жемқорлыққа қарсы мәдениетті дамыту қажеттілігіне тоқталып, тиімді стратегияларды ұсынады. Сонымен қатар, халықаралық тәжірибе мысалдары арқылы жемқорлыққа қарсы күрестің заманауи тәсілдері сипатталады. Жастардың белсенді азаматтық ұстанымы мен саналы көзқарасы ғана қоғамды жемқорлықсыз болашаққа жетелейді.Осыған байланысты елімізде сыбайлас жемқорлыққа қарсы мәдениетті қалыптастыру бойынша мақсатты жұмыс келешек түлектердің қызмет бейініне қарамастан барлық оқу орындарын қамтуға тиіс. Өткен жылдан бастап барлық жоғары оқу орындарындағы оқу процесіне «Сыбайлас жемқорлыққа қарсы мәдениет негіздері» атты жаңа пән енгізіле бастады. Дегенмен, бізде сыбайлас жемқорлыққа қарсы мәдениеттің дүниетанымдық, этикалық, рухани аспектілерін жан-жақты көрсететін тиісті әдебиет әлі аз, ал бұл проблема бойынша қолда бар әдебиет көбіне сыбайлас жемқорлыққа қарсы күрестің құқықтық аспектілерін ашуға бағытталған. Қалыптасқан мән-жайды назарға ала отырып, Қазақстан Республикасы Президентінің жанындағы Мемлекеттік басқару академиясының ғалымдар тобы бұл проблема бойынша оқу процесін әдістемелік қамтамасыз ету үшін оқу құралын жасау туралы бастама білдірді. Ұсынылатын оқу құралы Академияның профессор-оқытушылар құрамының жұмыс нәтижесі болып табылады, оқу орнының құрылымдық бөлімшелерінде құқық қорғау, экономикалық және тәрбиелік моделдерін қамтитын сыбайлас жемқорлыққа қарсы іс-қимылдың пәрменді тетіктері жүйелі түрде әзірленуде. Авторлар ұжымына әртүрлі бейіндегі мамандар кірді, олардың ішінде – практикалық тәжірибесі бар мемлекеттік қызметшілер, педагогика, философия, экономика, юриспруденция саласында зерттеулер жүргізетін ғалымдар бар. Авторлық ұжымның мұндай іріктелуі белгіленген міндеттерді шешуге және тарихи әрі қазіргі заман тұрғысынан алғанда сыбайлас жемқорлыққа қарсы мәдениетті қалыптастырудың өзекті проблемаларын байыптауға кешенді көзқарасты қамтамасыз етті. Жүйелі тәсілдің міндетін белгілеген авторлар сыбайлас жемқорлықтың мәнін, табиғатын, шығу тегін, оның орнықтылығының себебін ашу, сыбайлас жемқорлыққа қарсы әлеуметтік-экономикалық, құқықтық, мәдени, рухани-этикалық аспектілерге сапалы талдау ұсыну әрекетін жасады. Оқу құралында қамтылған мәселелер кешеніне орай оларды төрт тарауға топтау орынды деп табылып, олардың әрқайсысы тиісті тақырыптық блокты қамтыды. 6 Оқу құралы аясында оқырмандар сыбайлас жемқорлыққа қарсы сана және сыбайлас жемқорлыққа қарсы мәдениет сияқты ұғымдармен танысып, қазіргі күннің құбылысы ретіндегі сыбайлас жемқорлық және оның тарихи тамырлары туралы мәлімет алады. Тұлғаны сыбайлас жемқорлыққа қарсы мәдениет тұрғысынан тәрбиелеуде отбасының рөліне, сыбайлас жемқорлыққа қарсы мәдениеттің ұлттық негіздеріне, шетелдерде сыбайлас жемқорлыққа қарсы мәдениетті қалыптастыруға айрықша назар аударылған. «Сыбайлас жемқорлыққа қарсы мәдениет негіздері» оқу құралында авторлар оқытудың тәрбиелік сипатына сүйенді, сондықтан ол жоғары оқу орындарының барлық мамандықтары мен дайындық бағыттары бойынша оқу процесінде пайдаланылуы мүмкін. Бұл ретте Қазақстан Республикасы Президентінің жанындағы Мемлекеттік басқару академиясының соңғы жылдары жинақтаған тәжірибесін пайдаланғанымызды, Академияда еліміздің мемлекеттік қызметшілерін оқытудың барлық бағдарламаларына сыбайлас жемқорлыққа қарсы бағыттылық пәндері енгізгенін атап көрсету қажет</w:t>
      </w:r>
    </w:p>
    <w:p w:rsidR="00000000" w:rsidDel="00000000" w:rsidP="00000000" w:rsidRDefault="00000000" w:rsidRPr="00000000" w14:paraId="00000017">
      <w:pPr>
        <w:spacing w:after="240" w:before="240" w:lineRule="auto"/>
        <w:rPr>
          <w:rFonts w:ascii="Times New Roman" w:cs="Times New Roman" w:eastAsia="Times New Roman" w:hAnsi="Times New Roman"/>
          <w:sz w:val="27.84000015258789"/>
          <w:szCs w:val="27.84000015258789"/>
        </w:rPr>
      </w:pPr>
      <w:r w:rsidDel="00000000" w:rsidR="00000000" w:rsidRPr="00000000">
        <w:rPr>
          <w:rFonts w:ascii="Times New Roman" w:cs="Times New Roman" w:eastAsia="Times New Roman" w:hAnsi="Times New Roman"/>
          <w:b w:val="1"/>
          <w:sz w:val="27.84000015258789"/>
          <w:szCs w:val="27.84000015258789"/>
          <w:rtl w:val="0"/>
        </w:rPr>
        <w:t xml:space="preserve">Кілт сөздер:</w:t>
      </w:r>
      <w:r w:rsidDel="00000000" w:rsidR="00000000" w:rsidRPr="00000000">
        <w:rPr>
          <w:rFonts w:ascii="Times New Roman" w:cs="Times New Roman" w:eastAsia="Times New Roman" w:hAnsi="Times New Roman"/>
          <w:sz w:val="27.84000015258789"/>
          <w:szCs w:val="27.84000015258789"/>
          <w:rtl w:val="0"/>
        </w:rPr>
        <w:t xml:space="preserve"> жастар, сыбайлас жемқорлық, құқықтық мәдениет, академиялық адалдық, азаматтық ұстаным.</w:t>
      </w:r>
    </w:p>
    <w:p w:rsidR="00000000" w:rsidDel="00000000" w:rsidP="00000000" w:rsidRDefault="00000000" w:rsidRPr="00000000" w14:paraId="00000018">
      <w:pPr>
        <w:spacing w:after="240" w:before="240" w:lineRule="auto"/>
        <w:rPr>
          <w:rFonts w:ascii="Times New Roman" w:cs="Times New Roman" w:eastAsia="Times New Roman" w:hAnsi="Times New Roman"/>
          <w:sz w:val="27.84000015258789"/>
          <w:szCs w:val="27.84000015258789"/>
        </w:rPr>
      </w:pPr>
      <w:r w:rsidDel="00000000" w:rsidR="00000000" w:rsidRPr="00000000">
        <w:rPr>
          <w:rFonts w:ascii="Times New Roman" w:cs="Times New Roman" w:eastAsia="Times New Roman" w:hAnsi="Times New Roman"/>
          <w:sz w:val="27.84000015258789"/>
          <w:szCs w:val="27.84000015258789"/>
          <w:rtl w:val="0"/>
        </w:rPr>
        <w:t xml:space="preserve">Жастар – өзгерістердің басты қозғаушы күші. Егер жас ұрпақ сыбайлас жемқорлыққа қарсы иммунитет қалыптастырып, адалдық пен әділдік қағидаларын ұстанса, болашақта қоғам жемқорлықсыз дамудың жолына түседі. Сарапшылардың пікірінше, жастардың құқықтық сауаттылығы неғұрлым жоғары болса, жемқорлық деңгейі соғұрлым төмендейді.Сыбайлас жемқорлыққа қарсы мәдениет сыбайлас жемқорлыққа қарсы сананың феномені болып табылады. Сондықтан бұл параграфта сыбайлас жемқорлыққа қарсы сананың феноменін қарастырамыз. Қоғамдық сананың әртүрлі нысандары бар, олардың көмегімен адамдар оларды қоршаған табиғатты, қоғам мен өздерін сезінеді. «Сыбайлас жемқорлыққа қарсы сана» ұғымы қоғамдық сананың барлық нысандарын қамтиды. Бұл интегративті ұғым, себебі ол өзіне әртүрлі ғылым саласынан ақпаратты сіңіреді, әртүрлі оқу пәндерінде зерделенеді және ол туралы білімді тұжырымдауда зерттелетін құбылысты түсінудің жаңа деңгейіне шығады. Осылайша, сыбайлас жемқорлыққа қарсы сана қоғамдық сананың өзге де нысандарымен тікелей өзара байланыста болады және қоғамдық санаға тән барлық қасиеттер және сипаттамаларды меңгереді. Сыбайлас жемқорлыққа қарсы сана – бұл адамдардың сыбайлас жемқорлыққа әлеуметтік зұлымдық ретіндегі қатынасын білдіретін ұғымдар, теориялар, түсініктер мен сезімдердің, көзқарастар мен эмоциялардың жиынтығы. Қазақстан Республикасының «Сыбайлас жемқорлыққа қарсы іс-қимыл туралы» Заңында мүдделер қақтығысы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осы аталған адамдардың жеке мүдделері олардың өздерінің лауазымдық өкілеттіктерін тиісінше орындамауына әкеп соғуы мүмкін» деп айқындалады . Сыбайлас жемқорлыққа қарсы сананың ерекшелігі оның барлық көрінісінде мүдделер қақтығысына жағымсыз, төзбеушілік қатынастың призмасы арқылы өмірлік болмысты көрсетеді, содан кейін жаңғыртады. Ол жалпыға міндетті мінез-құлық нормаларын белгілеуді талап етеді. Сыбайлас жемқорлыққа қарсы сана адамгершілік және адамгершілікке жат қылықты, құқықтық және құқықтық емес, заңды және заңсыздықтың шегін көрсетіп береді. Ол сыбайлас жемқорлыққа қарсы мінезқұлықты қамтамасыз ету үшін моральдық-адамгершілік, идеологиялық, құқықтық шараларды талап етеді. Сыбайлас жемқорлыққа қарсы санаға нысандандыру, белгілілік пен кесімділік тән. Сондай-ақ моральдық және құқықтық міндеттерді орындауға қатаң бақылау талабы тән. Сыбайлас жемқорлыққа қарсы сананың рөлі оның танымдық, реттеуші, бағалаушылық, болжамдық функцияларында көрінеді. Сыбайлас жемқорлыққа қарсы сананың танымдық функциясы әлеуметтік зұлымдық ретінде сыбайлас жемқорлық туралы білімді жинақтау және оның негізінде адами өзара қарымқатынастар әлемін одан әрі пайымдау мүмкіндігінен тұрады. Қоғамдық өмірдің жағымсыз құбылысы ретінде сыбайлас жемқорлық қоғамдық айыптауды туындатады, алайда әртүрлі әлеуметтік топтарда оларға төзімділік дәрежесі бірдей емес. Өмірінде сыбайлас жемқорлық фактілерімен ұшырасқан әрбір адам оны азамат пен мемлекет өкілі арасындағы өзара қарым-қатынаста, азаматтардың өз арасында және бизнес саласында орын алмауы тиіс қоғамдық зұлымдық ретінде бағалайды. Моральдық нормалар мен олардың сыбайлас жемқорлыққа қарсы тұрудағы рөлі. Адамзат өркениеті тарихында діни ілімге негізделген мораль нормалары тұлғаның қалыптасуында маңызды рөл атқарады. Адамның моральдық қағидаттарды саналы түрде сақтауы оның сыбайлас жемқорлыққа деген қатынасы бойынша ұстанымына байланысты. Ол оны кез келген мемлекеттік құрылыстың мәңгі жолсерігі немесе нақты қарсы тұра алатын және қарсы тұру қажет жағымсыз қоғамдық құбылыс ретінде қабылдайды. Сыбайлас жемқорлық қоғамдық зұлымдық ретінде қоғамға ыдыратушы ықпал етеді. Әсіресе бұл адамдардың қылмыстық мінезқұлқын, сыбайлас жемқорлық фактілерін Интернет желісіне қол жеткізетін тіпті оқушылардан жасыра алмайтын қазіргі ақпараттық технологиялар ғасырында қауіпті. Жастарды тәрбиелеудегі кемшіліктер мен қателіктер, мемлекеттік қызметшілердің сыбайлас жемқорлық ықпал үшін әлсіз санаттарына тиісті көңіл бөлмеу аса жағымсыз салдарға әкеледі. Сыбайлас жемқорлық дендеген адамдардың адуындығы мен арсыздығы, олардың қылмыстық қызметінің нәтижелері адамгершілік құндылықтарының құнын жояды және қоғамның адамгершілік ұстанымдарын әлсіретуі мүмкін. Адамгершілік, әділдікке сену, этикалық мінез-құлық нормаларын сақтау қажетті жағдайлар кешенін білдіреді. Осы құрамдас бөліктерсіз сыбайлас жемқорлыққа қарсы мәдениет қалыптаса алмайды және мемлекеттік жазалау саясаты пәрменді бола алмайды. Мінез-құлық актілеріндегі моральдық қағидаттардың басымдығының құқықтық тыйымдар немесе қылмыстық аңду қаупіне қарағанда әсері көп. Сыбайлас жемқорлықты елдегі адамдар әділетсіздік деп негізді түрде қабылдайды. Бұл жерде әрбір адам өздері байқайтын болмысты оның санасында қалыптасқан тәрбие мен идеологиялық ұстаным негізінде адамгершілік тұрғысынан бағалайтынын тағы да атап өткен жөн. Егер адамгершілік ережелердің кешені жұмыс істемесе, қоғам азғындаған, ал мемлекет – әлсіз болады, егер социум өмірінде мораль тиісті орын алмаса, азғынданған қоғамның болашағы жоқ. Адамгершілік және қылмыстық идеология қақтығысы. Сыбайлас жемқорлықтың жағымсыз қоғамдық құбылыс ретіндегі ерекшелігі қоғамдық процестер өзгерісінде өте жылдам қозғалғыш келеді, оның қауіптілігін елемеу әртүрлі тәртіптің шығындарына әкеледі. Экономикалық шығындардан және халықаралық аренадағы беделін жоғалтудан бөлек , кез келген мемлекет қылмыстық идеологияны тарату проблемасына ұшырасады. Ең қауіптісі белгілі бір топтардың бай тап өкілдерінің санасында тоғышарлық элементтерінің тамыр жаюымен сән-салтанатта өмір сүретін, шамадан артық тұтынуға ұмтылуын жете бағаламау болып табылады. Бұл кемістік зиянсыз емес, ол адамдардың санасында өзіндік мінез-құлық стандарттарын қалыптастырады, кейіннен құқықтық түзетуге келмейді. </w:t>
      </w:r>
    </w:p>
    <w:p w:rsidR="00000000" w:rsidDel="00000000" w:rsidP="00000000" w:rsidRDefault="00000000" w:rsidRPr="00000000" w14:paraId="00000019">
      <w:pPr>
        <w:pStyle w:val="Heading2"/>
        <w:keepNext w:val="0"/>
        <w:keepLines w:val="0"/>
        <w:spacing w:after="80" w:lineRule="auto"/>
        <w:rPr>
          <w:rFonts w:ascii="Times New Roman" w:cs="Times New Roman" w:eastAsia="Times New Roman" w:hAnsi="Times New Roman"/>
          <w:b w:val="1"/>
          <w:sz w:val="34"/>
          <w:szCs w:val="34"/>
        </w:rPr>
      </w:pPr>
      <w:bookmarkStart w:colFirst="0" w:colLast="0" w:name="_1j32hmu4vvn6" w:id="2"/>
      <w:bookmarkEnd w:id="2"/>
      <w:r w:rsidDel="00000000" w:rsidR="00000000" w:rsidRPr="00000000">
        <w:rPr>
          <w:rFonts w:ascii="Times New Roman" w:cs="Times New Roman" w:eastAsia="Times New Roman" w:hAnsi="Times New Roman"/>
          <w:b w:val="1"/>
          <w:sz w:val="34"/>
          <w:szCs w:val="34"/>
          <w:rtl w:val="0"/>
        </w:rPr>
        <w:t xml:space="preserve">Пайдаланылған әдебиеттер</w:t>
      </w:r>
    </w:p>
    <w:p w:rsidR="00000000" w:rsidDel="00000000" w:rsidP="00000000" w:rsidRDefault="00000000" w:rsidRPr="00000000" w14:paraId="0000001A">
      <w:pPr>
        <w:numPr>
          <w:ilvl w:val="0"/>
          <w:numId w:val="1"/>
        </w:numPr>
        <w:spacing w:after="0" w:afterAutospacing="0" w:before="240" w:lineRule="auto"/>
        <w:ind w:left="720" w:hanging="360"/>
        <w:rPr>
          <w:rFonts w:ascii="Times New Roman" w:cs="Times New Roman" w:eastAsia="Times New Roman" w:hAnsi="Times New Roman"/>
          <w:sz w:val="27.84000015258789"/>
          <w:szCs w:val="27.84000015258789"/>
        </w:rPr>
      </w:pPr>
      <w:r w:rsidDel="00000000" w:rsidR="00000000" w:rsidRPr="00000000">
        <w:rPr>
          <w:rFonts w:ascii="Times New Roman" w:cs="Times New Roman" w:eastAsia="Times New Roman" w:hAnsi="Times New Roman"/>
          <w:sz w:val="27.84000015258789"/>
          <w:szCs w:val="27.84000015258789"/>
          <w:rtl w:val="0"/>
        </w:rPr>
        <w:t xml:space="preserve">Асанов Б. «Сыбайлас жемқорлыққа қарсы күрес негіздері». Алматы: Қазақ университеті, 2021.</w:t>
      </w:r>
    </w:p>
    <w:p w:rsidR="00000000" w:rsidDel="00000000" w:rsidP="00000000" w:rsidRDefault="00000000" w:rsidRPr="00000000" w14:paraId="0000001B">
      <w:pPr>
        <w:numPr>
          <w:ilvl w:val="0"/>
          <w:numId w:val="1"/>
        </w:numPr>
        <w:spacing w:after="0" w:afterAutospacing="0" w:before="0" w:beforeAutospacing="0" w:lineRule="auto"/>
        <w:ind w:left="720" w:hanging="360"/>
        <w:rPr>
          <w:rFonts w:ascii="Times New Roman" w:cs="Times New Roman" w:eastAsia="Times New Roman" w:hAnsi="Times New Roman"/>
          <w:sz w:val="27.84000015258789"/>
          <w:szCs w:val="27.84000015258789"/>
        </w:rPr>
      </w:pPr>
      <w:r w:rsidDel="00000000" w:rsidR="00000000" w:rsidRPr="00000000">
        <w:rPr>
          <w:rFonts w:ascii="Times New Roman" w:cs="Times New Roman" w:eastAsia="Times New Roman" w:hAnsi="Times New Roman"/>
          <w:sz w:val="27.84000015258789"/>
          <w:szCs w:val="27.84000015258789"/>
          <w:rtl w:val="0"/>
        </w:rPr>
        <w:t xml:space="preserve">Мұхамедов Т. «Жастар және құқықтық мәдениет». Астана: Фолиант, 2020.</w:t>
      </w:r>
    </w:p>
    <w:p w:rsidR="00000000" w:rsidDel="00000000" w:rsidP="00000000" w:rsidRDefault="00000000" w:rsidRPr="00000000" w14:paraId="0000001C">
      <w:pPr>
        <w:numPr>
          <w:ilvl w:val="0"/>
          <w:numId w:val="1"/>
        </w:numPr>
        <w:spacing w:after="0" w:afterAutospacing="0" w:before="0" w:beforeAutospacing="0" w:lineRule="auto"/>
        <w:ind w:left="720" w:hanging="360"/>
        <w:rPr>
          <w:rFonts w:ascii="Times New Roman" w:cs="Times New Roman" w:eastAsia="Times New Roman" w:hAnsi="Times New Roman"/>
          <w:sz w:val="27.84000015258789"/>
          <w:szCs w:val="27.84000015258789"/>
        </w:rPr>
      </w:pPr>
      <w:r w:rsidDel="00000000" w:rsidR="00000000" w:rsidRPr="00000000">
        <w:rPr>
          <w:rFonts w:ascii="Times New Roman" w:cs="Times New Roman" w:eastAsia="Times New Roman" w:hAnsi="Times New Roman"/>
          <w:sz w:val="27.84000015258789"/>
          <w:szCs w:val="27.84000015258789"/>
          <w:rtl w:val="0"/>
        </w:rPr>
        <w:t xml:space="preserve">Smith J. «Corruption and Youth: A Global Perspective». London: Oxford University Press, 2019.</w:t>
      </w:r>
    </w:p>
    <w:p w:rsidR="00000000" w:rsidDel="00000000" w:rsidP="00000000" w:rsidRDefault="00000000" w:rsidRPr="00000000" w14:paraId="0000001D">
      <w:pPr>
        <w:numPr>
          <w:ilvl w:val="0"/>
          <w:numId w:val="1"/>
        </w:numPr>
        <w:spacing w:after="0" w:afterAutospacing="0" w:before="0" w:beforeAutospacing="0" w:lineRule="auto"/>
        <w:ind w:left="720" w:hanging="360"/>
        <w:rPr>
          <w:rFonts w:ascii="Times New Roman" w:cs="Times New Roman" w:eastAsia="Times New Roman" w:hAnsi="Times New Roman"/>
          <w:sz w:val="27.84000015258789"/>
          <w:szCs w:val="27.84000015258789"/>
        </w:rPr>
      </w:pPr>
      <w:r w:rsidDel="00000000" w:rsidR="00000000" w:rsidRPr="00000000">
        <w:rPr>
          <w:rFonts w:ascii="Times New Roman" w:cs="Times New Roman" w:eastAsia="Times New Roman" w:hAnsi="Times New Roman"/>
          <w:sz w:val="27.84000015258789"/>
          <w:szCs w:val="27.84000015258789"/>
          <w:rtl w:val="0"/>
        </w:rPr>
        <w:t xml:space="preserve">Иванов П. «Правовое воспитание молодежи». Москва: Юрайт, 2018.</w:t>
      </w:r>
    </w:p>
    <w:p w:rsidR="00000000" w:rsidDel="00000000" w:rsidP="00000000" w:rsidRDefault="00000000" w:rsidRPr="00000000" w14:paraId="0000001E">
      <w:pPr>
        <w:numPr>
          <w:ilvl w:val="0"/>
          <w:numId w:val="1"/>
        </w:numPr>
        <w:spacing w:after="0" w:afterAutospacing="0" w:before="0" w:beforeAutospacing="0" w:lineRule="auto"/>
        <w:ind w:left="720" w:hanging="360"/>
        <w:rPr>
          <w:rFonts w:ascii="Times New Roman" w:cs="Times New Roman" w:eastAsia="Times New Roman" w:hAnsi="Times New Roman"/>
          <w:sz w:val="27.84000015258789"/>
          <w:szCs w:val="27.84000015258789"/>
        </w:rPr>
      </w:pPr>
      <w:r w:rsidDel="00000000" w:rsidR="00000000" w:rsidRPr="00000000">
        <w:rPr>
          <w:rFonts w:ascii="Times New Roman" w:cs="Times New Roman" w:eastAsia="Times New Roman" w:hAnsi="Times New Roman"/>
          <w:sz w:val="27.84000015258789"/>
          <w:szCs w:val="27.84000015258789"/>
          <w:rtl w:val="0"/>
        </w:rPr>
        <w:t xml:space="preserve">Transparency International. «Global Corruption Report». Berlin, 2022.</w:t>
      </w:r>
    </w:p>
    <w:p w:rsidR="00000000" w:rsidDel="00000000" w:rsidP="00000000" w:rsidRDefault="00000000" w:rsidRPr="00000000" w14:paraId="0000001F">
      <w:pPr>
        <w:numPr>
          <w:ilvl w:val="0"/>
          <w:numId w:val="1"/>
        </w:numPr>
        <w:spacing w:after="240" w:before="0" w:beforeAutospacing="0" w:lineRule="auto"/>
        <w:ind w:left="720" w:hanging="360"/>
        <w:rPr>
          <w:rFonts w:ascii="Times New Roman" w:cs="Times New Roman" w:eastAsia="Times New Roman" w:hAnsi="Times New Roman"/>
          <w:sz w:val="27.84000015258789"/>
          <w:szCs w:val="27.84000015258789"/>
        </w:rPr>
      </w:pPr>
      <w:r w:rsidDel="00000000" w:rsidR="00000000" w:rsidRPr="00000000">
        <w:rPr>
          <w:rFonts w:ascii="Times New Roman" w:cs="Times New Roman" w:eastAsia="Times New Roman" w:hAnsi="Times New Roman"/>
          <w:sz w:val="27.84000015258789"/>
          <w:szCs w:val="27.84000015258789"/>
          <w:rtl w:val="0"/>
        </w:rPr>
        <w:t xml:space="preserve">Brown D. «Digital Governance and Anti-Corruption Strategies». New York: Routledge, 2021.</w:t>
      </w:r>
    </w:p>
    <w:p w:rsidR="00000000" w:rsidDel="00000000" w:rsidP="00000000" w:rsidRDefault="00000000" w:rsidRPr="00000000" w14:paraId="00000020">
      <w:pPr>
        <w:spacing w:after="240" w:before="240" w:lineRule="auto"/>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7.84000015258789"/>
          <w:szCs w:val="27.84000015258789"/>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